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lang w:eastAsia="fr-FR"/>
        </w:rPr>
      </w:pPr>
      <w:r w:rsidRPr="00891C8A">
        <w:rPr>
          <w:rFonts w:ascii="dgct" w:eastAsia="Times New Roman" w:hAnsi="dgct" w:cs="Times New Roman" w:hint="cs"/>
          <w:b/>
          <w:bCs/>
          <w:color w:val="FF0000"/>
          <w:sz w:val="42"/>
          <w:szCs w:val="42"/>
          <w:rtl/>
          <w:lang w:eastAsia="fr-FR"/>
        </w:rPr>
        <w:t>اختصاصات الجماعة</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0" w:name="_Toc457298859"/>
      <w:r w:rsidRPr="00891C8A">
        <w:rPr>
          <w:rFonts w:ascii="dgct" w:eastAsia="Times New Roman" w:hAnsi="dgct" w:cs="Times New Roman"/>
          <w:b/>
          <w:bCs/>
          <w:color w:val="5C309C"/>
          <w:sz w:val="40"/>
          <w:szCs w:val="40"/>
          <w:rtl/>
          <w:lang w:eastAsia="fr-FR"/>
        </w:rPr>
        <w:t>الباب الأول: مبادئ عامة</w:t>
      </w:r>
      <w:bookmarkEnd w:id="0"/>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77</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تناط بالجماعة داخل دائرتها الترابية مهام تقديم خدمات القرب للمواطنات والمواطنين في إطار الاختصاصات المسندة إليها بموجب هذا القانون التنظيمي، وذلك بتنظيمها وتنسيقها وتتبعها.</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ولهذه الغاية، تمارس الجماعة اختصاصات ذاتية، واختصاصات مشتركة مع الدولة، واختصاصات منقولة إليها من هذه الأخيرة.</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xml:space="preserve">تشتمل الاختصاصات الذاتية على الاختصاصات </w:t>
      </w:r>
      <w:r w:rsidR="00F7713A" w:rsidRPr="00891C8A">
        <w:rPr>
          <w:rFonts w:ascii="dgct" w:eastAsia="Times New Roman" w:hAnsi="dgct" w:cs="Times New Roman" w:hint="cs"/>
          <w:color w:val="333333"/>
          <w:sz w:val="32"/>
          <w:szCs w:val="32"/>
          <w:rtl/>
          <w:lang w:eastAsia="fr-FR"/>
        </w:rPr>
        <w:t>الموكول للجماعة</w:t>
      </w:r>
      <w:bookmarkStart w:id="1" w:name="_GoBack"/>
      <w:bookmarkEnd w:id="1"/>
      <w:r w:rsidRPr="00891C8A">
        <w:rPr>
          <w:rFonts w:ascii="dgct" w:eastAsia="Times New Roman" w:hAnsi="dgct" w:cs="Times New Roman" w:hint="cs"/>
          <w:color w:val="333333"/>
          <w:sz w:val="32"/>
          <w:szCs w:val="32"/>
          <w:rtl/>
          <w:lang w:eastAsia="fr-FR"/>
        </w:rPr>
        <w:t xml:space="preserve"> في مجال معين بما يمكنها من القيام، في حدود مواردها، وداخل دائرتها الترابية، بالأعمال الخاصة بهذا المجال، ولا سيما التخطيط والبرمجة والإنجاز والتدبير والصيانة.</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تشمل الاختصاصات المشتركة بين الدولة والجماعة الاختصاصات التي يتبين أن نجاعة ممارستها تكون بشكل مشترك. ويمكن أن تتم ممارسة هذه الاختصاصات المشتركة طبقا لمبدأي التدرج والتمايز.</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تشمل الاختصاصات المنقولة الاختصاصات التي تنقل من الدولة إلى الجماعة بما يسمح بتوسيع الاختصاصات الذاتية بشكل تدريجي.</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2" w:name="_Toc457298860"/>
      <w:r w:rsidRPr="00891C8A">
        <w:rPr>
          <w:rFonts w:ascii="dgct" w:eastAsia="Times New Roman" w:hAnsi="dgct" w:cs="Times New Roman"/>
          <w:b/>
          <w:bCs/>
          <w:color w:val="5C309C"/>
          <w:sz w:val="40"/>
          <w:szCs w:val="40"/>
          <w:rtl/>
          <w:lang w:eastAsia="fr-FR"/>
        </w:rPr>
        <w:t>الباب الثاني: الاختصاصات الذاتية</w:t>
      </w:r>
      <w:bookmarkEnd w:id="2"/>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3" w:name="_Toc457298861"/>
      <w:r w:rsidRPr="00891C8A">
        <w:rPr>
          <w:rFonts w:ascii="dgct" w:eastAsia="Times New Roman" w:hAnsi="dgct" w:cs="Times New Roman" w:hint="cs"/>
          <w:b/>
          <w:bCs/>
          <w:color w:val="FF00FF"/>
          <w:sz w:val="38"/>
          <w:szCs w:val="38"/>
          <w:rtl/>
          <w:lang w:eastAsia="fr-FR" w:bidi="ar-MA"/>
        </w:rPr>
        <w:t>الفصل الأول: برنامج عمل الجماعة</w:t>
      </w:r>
      <w:bookmarkEnd w:id="3"/>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78</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يضع الجماعة، تحت إشراف رئيس مجلسها، برنامج التنمية الجماعة وتعمل على تتبعه وتحيينه وتقييمه.</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يحدد هذا البرنامج الأعمال التنموية المقرر إنجازها أو المساهمة فيها بتراب الجماعة خلال مدة ست (6) سنوات.</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color w:val="333333"/>
          <w:sz w:val="24"/>
          <w:szCs w:val="24"/>
          <w:rtl/>
          <w:lang w:eastAsia="fr-FR"/>
        </w:rPr>
        <w:t> </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يتم إعداد برنامج عمل الجماعة في السنة الأولى من مدة انتداب المجلس على أبعد تقدير بانسجام مع توجهات برنامج التنمية الجهوية ووفق منهج تشاركي وبتنسيق مع عامل العمالة أو الإقليم، أو من ينوب عنه، بصفته مكلفا بتنسيق أنشطة المصالح اللامركزية للإدارة المركزية.</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lastRenderedPageBreak/>
        <w:t>   يجب أن يتضمن برنامج عمل الجماعة تشخيصا لحاجيات وإمكانيات الجماعة وتحديدا لأولوياتها وتقييما لمواردها ونفقاتها التقديرية الخاصة بالسنوات الثلاث الأولى وأن يأخذ بعين الاعتبار مقاربة النوع.</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4" w:name="_Toc457298862"/>
      <w:r w:rsidRPr="00891C8A">
        <w:rPr>
          <w:rFonts w:ascii="dgct" w:eastAsia="Times New Roman" w:hAnsi="dgct" w:cs="Times New Roman" w:hint="cs"/>
          <w:b/>
          <w:bCs/>
          <w:color w:val="FF00FF"/>
          <w:sz w:val="38"/>
          <w:szCs w:val="38"/>
          <w:rtl/>
          <w:lang w:eastAsia="fr-FR" w:bidi="ar-MA"/>
        </w:rPr>
        <w:t>الفصل الثاني: المرافق والتجهيزات العمومية الجماعية</w:t>
      </w:r>
      <w:bookmarkEnd w:id="4"/>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83</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تقوم الجماعة بإحداث وتدبير المرافق والتجهيزات العمومية اللازمة لتقديم خدمات القرب في الميادين التالية:</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توزيع الماء الصالح للشرب والكهرباء؛</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النقل العمومي الحضري؛</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الإنارة العمومية؛</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التطهير السائل والصلب ومحطات معالجة المياه العادمة؛</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تنظيف الطرقات والساحات العمومية وجمع النفايات المنزلية والمشابهة لها ونقلها إلى المطارح ومعالجتها وتثمينها؛</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السير والجولان وتشوير الطرق العمومية ووقوف العربات؛</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حفظ الصحة؛</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نقل الأموات والدفن؛</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وصيانة المقابر؛</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معارض الصناعة التقليدية وتثمين المنتوج المحلي؛</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أماكن بيع الحبوب؛</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المحطات الطرقية لنقل المسافرين؛</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محطات الاستراحة؛</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وصيانة المنتزهات الطبيعية داخل النفوذ الترابي للجماعة؛</w:t>
      </w:r>
    </w:p>
    <w:p w:rsidR="00891C8A" w:rsidRPr="00891C8A" w:rsidRDefault="00891C8A" w:rsidP="00891C8A">
      <w:pPr>
        <w:numPr>
          <w:ilvl w:val="0"/>
          <w:numId w:val="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مراكز التخييم والاصطياف.</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كما تقوم الجماعة بموازاة مع فاعلين آخرين من القطاع العام أو الخاص بإحداث وتدبير المرافق التالية:</w:t>
      </w:r>
    </w:p>
    <w:p w:rsidR="00891C8A" w:rsidRPr="00891C8A" w:rsidRDefault="00891C8A" w:rsidP="00891C8A">
      <w:pPr>
        <w:numPr>
          <w:ilvl w:val="0"/>
          <w:numId w:val="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أسواق البيع بالجملة؛</w:t>
      </w:r>
    </w:p>
    <w:p w:rsidR="00891C8A" w:rsidRPr="00891C8A" w:rsidRDefault="00891C8A" w:rsidP="00891C8A">
      <w:pPr>
        <w:numPr>
          <w:ilvl w:val="0"/>
          <w:numId w:val="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المجازر والذبح ونقل اللحوم؛</w:t>
      </w:r>
    </w:p>
    <w:p w:rsidR="00891C8A" w:rsidRPr="00891C8A" w:rsidRDefault="00891C8A" w:rsidP="00891C8A">
      <w:pPr>
        <w:numPr>
          <w:ilvl w:val="0"/>
          <w:numId w:val="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أسواق بيع السمك.</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lastRenderedPageBreak/>
        <w:t>يتعين على الجماعة أن تعتمد عند إحداث أو تدبير المرافق، المشار إليها في الفقرة الثانية أعلاه، سبل التحديث في التدبير المتاحة لها، ولاسيما عن طريق التدبير المفوض أو إحداث شركات التنمية المحلية أو التعاقد مع القطاع الخاص.</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كما يتعين على الجماعة مراعاة الاختصاصات المخولة بموجب النصوص التشريعية الجاري بها العمل إلى هيئات أخرى ولاسيما المكتب الوطني للسلامة الصحية للمنتجات الغذائية.</w:t>
      </w:r>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84</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xml:space="preserve">تطبيقا لمقتضيات الفصل 146 من الدستور وخاصة البند التاسع منه المتعلق بالآليات الرامية الى ضمان تكييف تطور التنظيم الترابي وتفعيلا لمبدأ التفريع المنصوص عليه في الدستور، يمكن لمجالس الجماعات، عند الاقتضاء، أن تعهد بممارسة اختصاص أو بعض الاختصاصات </w:t>
      </w:r>
      <w:proofErr w:type="spellStart"/>
      <w:r w:rsidRPr="00891C8A">
        <w:rPr>
          <w:rFonts w:ascii="dgct" w:eastAsia="Times New Roman" w:hAnsi="dgct" w:cs="Times New Roman" w:hint="cs"/>
          <w:color w:val="333333"/>
          <w:sz w:val="32"/>
          <w:szCs w:val="32"/>
          <w:rtl/>
          <w:lang w:eastAsia="fr-FR"/>
        </w:rPr>
        <w:t>الموكولة</w:t>
      </w:r>
      <w:proofErr w:type="spellEnd"/>
      <w:r w:rsidRPr="00891C8A">
        <w:rPr>
          <w:rFonts w:ascii="dgct" w:eastAsia="Times New Roman" w:hAnsi="dgct" w:cs="Times New Roman" w:hint="cs"/>
          <w:color w:val="333333"/>
          <w:sz w:val="32"/>
          <w:szCs w:val="32"/>
          <w:rtl/>
          <w:lang w:eastAsia="fr-FR"/>
        </w:rPr>
        <w:t xml:space="preserve"> لها إلى مجلس العمالة أو الإقليم وذلك بطلب من الجماعة أو الجماعات الراغبة في ذلك، أو بطلب من الدولة التي تخصص لهذا الغرض تحفيزات مادية في إطار التعاضد بين الجماعات، أو بمبادرة من العمالة أو الإقليم المعني.</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xml:space="preserve">يمارس الاختصاص أو الاختصاصات </w:t>
      </w:r>
      <w:proofErr w:type="spellStart"/>
      <w:r w:rsidRPr="00891C8A">
        <w:rPr>
          <w:rFonts w:ascii="dgct" w:eastAsia="Times New Roman" w:hAnsi="dgct" w:cs="Times New Roman" w:hint="cs"/>
          <w:color w:val="333333"/>
          <w:sz w:val="32"/>
          <w:szCs w:val="32"/>
          <w:rtl/>
          <w:lang w:eastAsia="fr-FR"/>
        </w:rPr>
        <w:t>الموكولة</w:t>
      </w:r>
      <w:proofErr w:type="spellEnd"/>
      <w:r w:rsidRPr="00891C8A">
        <w:rPr>
          <w:rFonts w:ascii="dgct" w:eastAsia="Times New Roman" w:hAnsi="dgct" w:cs="Times New Roman" w:hint="cs"/>
          <w:color w:val="333333"/>
          <w:sz w:val="32"/>
          <w:szCs w:val="32"/>
          <w:rtl/>
          <w:lang w:eastAsia="fr-FR"/>
        </w:rPr>
        <w:t xml:space="preserve"> قانونا للجماعات من طرف مجلس العمالة أو الإقليم بعد مداولة مجالس الجماعات المعنية والموفقة على ذلك. وتحدد شروط وكيفيات هذه الممارسة في إطار التعاقد.</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5" w:name="_Toc457298863"/>
      <w:r w:rsidRPr="00891C8A">
        <w:rPr>
          <w:rFonts w:ascii="dgct" w:eastAsia="Times New Roman" w:hAnsi="dgct" w:cs="Times New Roman" w:hint="cs"/>
          <w:b/>
          <w:bCs/>
          <w:color w:val="FF00FF"/>
          <w:sz w:val="38"/>
          <w:szCs w:val="38"/>
          <w:rtl/>
          <w:lang w:eastAsia="fr-FR" w:bidi="ar-MA"/>
        </w:rPr>
        <w:t>الفصل الثالث: التعمير وإعداد التراب</w:t>
      </w:r>
      <w:bookmarkEnd w:id="5"/>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85</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مع مراعاة القوانين والأنظمة الجاري بها العمل، تختص الجماعة في مجال التعمير بما يلي:</w:t>
      </w:r>
    </w:p>
    <w:p w:rsidR="00891C8A" w:rsidRPr="00891C8A" w:rsidRDefault="00891C8A" w:rsidP="00891C8A">
      <w:pPr>
        <w:numPr>
          <w:ilvl w:val="0"/>
          <w:numId w:val="3"/>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السهر على احترام الاختيارات والضوابط المقررة في مخططات توجيه التهيئة العمرانية وتصاميم التهيئة والتنمية وكل الوثائق الأخرى المتعلقة بإعداد التراب والتعمير؛</w:t>
      </w:r>
    </w:p>
    <w:p w:rsidR="00891C8A" w:rsidRPr="00891C8A" w:rsidRDefault="00891C8A" w:rsidP="00891C8A">
      <w:pPr>
        <w:numPr>
          <w:ilvl w:val="0"/>
          <w:numId w:val="3"/>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الدراسة والمصادقة على ضوابط البناء الجماعية طبقا للقوانين والأنظمة الجاري بها العمل؛</w:t>
      </w:r>
    </w:p>
    <w:p w:rsidR="00891C8A" w:rsidRPr="00891C8A" w:rsidRDefault="00891C8A" w:rsidP="00891C8A">
      <w:pPr>
        <w:numPr>
          <w:ilvl w:val="0"/>
          <w:numId w:val="3"/>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تنفيذ مقتضيات تصميم التهيئة ومخطط التنمية القروية بخصوص فتح مناطق جديدة وفقا لكيفيات وشروط تحدد بقانون؛</w:t>
      </w:r>
    </w:p>
    <w:p w:rsidR="00891C8A" w:rsidRPr="00891C8A" w:rsidRDefault="00891C8A" w:rsidP="00891C8A">
      <w:pPr>
        <w:numPr>
          <w:ilvl w:val="0"/>
          <w:numId w:val="3"/>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وضع نظام العنونة المتعلق بالجماعة، يحدد مضمونه وكيفية إعداده وتحيينه بموجب مرسوم يتخذ باقتراح من السلطة الحكومية المكلفة بالداخلية.</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6" w:name="_Toc457298864"/>
      <w:r w:rsidRPr="00891C8A">
        <w:rPr>
          <w:rFonts w:ascii="dgct" w:eastAsia="Times New Roman" w:hAnsi="dgct" w:cs="Times New Roman" w:hint="cs"/>
          <w:b/>
          <w:bCs/>
          <w:color w:val="FF00FF"/>
          <w:sz w:val="38"/>
          <w:szCs w:val="38"/>
          <w:rtl/>
          <w:lang w:eastAsia="fr-FR" w:bidi="ar-MA"/>
        </w:rPr>
        <w:t>الفصل الرابع: التعاون الدولي</w:t>
      </w:r>
      <w:bookmarkEnd w:id="6"/>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86</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lastRenderedPageBreak/>
        <w:t>يمكن للجماعة إبرام اتفاقيات مع فاعلين من خارج المملكة في إطار التعاون الدولي وكذا الحصول على تمويلات في نفس الإطار بعد موافقة السلطات العمومية طبقا للقوانين والأنظمة الجاري بها العمل.</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xml:space="preserve"> لا يمكن إبرام أي اتفاقية بين جماعة أو مؤسسة التعاون بين </w:t>
      </w:r>
      <w:proofErr w:type="spellStart"/>
      <w:r w:rsidRPr="00891C8A">
        <w:rPr>
          <w:rFonts w:ascii="dgct" w:eastAsia="Times New Roman" w:hAnsi="dgct" w:cs="Times New Roman" w:hint="cs"/>
          <w:color w:val="333333"/>
          <w:sz w:val="32"/>
          <w:szCs w:val="32"/>
          <w:rtl/>
          <w:lang w:eastAsia="fr-FR"/>
        </w:rPr>
        <w:t>الجماعاتأو</w:t>
      </w:r>
      <w:proofErr w:type="spellEnd"/>
      <w:r w:rsidRPr="00891C8A">
        <w:rPr>
          <w:rFonts w:ascii="dgct" w:eastAsia="Times New Roman" w:hAnsi="dgct" w:cs="Times New Roman" w:hint="cs"/>
          <w:color w:val="333333"/>
          <w:sz w:val="32"/>
          <w:szCs w:val="32"/>
          <w:rtl/>
          <w:lang w:eastAsia="fr-FR"/>
        </w:rPr>
        <w:t xml:space="preserve"> مجموعة الجماعات الترابية ودولة أجنبية.</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7" w:name="_Toc457298865"/>
      <w:r w:rsidRPr="00891C8A">
        <w:rPr>
          <w:rFonts w:ascii="dgct" w:eastAsia="Times New Roman" w:hAnsi="dgct" w:cs="Times New Roman"/>
          <w:b/>
          <w:bCs/>
          <w:color w:val="5C309C"/>
          <w:sz w:val="40"/>
          <w:szCs w:val="40"/>
          <w:rtl/>
          <w:lang w:eastAsia="fr-FR"/>
        </w:rPr>
        <w:t>الباب الثالث: الاختصاصات المشتركة</w:t>
      </w:r>
      <w:bookmarkEnd w:id="7"/>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87</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تمارس الجماعة الاختصاصات المشتركة بينها وبين الدولة في المجالات التالية:</w:t>
      </w:r>
    </w:p>
    <w:p w:rsidR="00891C8A" w:rsidRPr="00891C8A" w:rsidRDefault="00891C8A" w:rsidP="00891C8A">
      <w:pPr>
        <w:numPr>
          <w:ilvl w:val="0"/>
          <w:numId w:val="4"/>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تنمية الاقتصاد المحلي وإنعاش الشغل؛</w:t>
      </w:r>
    </w:p>
    <w:p w:rsidR="00891C8A" w:rsidRPr="00891C8A" w:rsidRDefault="00891C8A" w:rsidP="00891C8A">
      <w:pPr>
        <w:numPr>
          <w:ilvl w:val="0"/>
          <w:numId w:val="4"/>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المحافظة على خصوصيات التراث الثقافي المحلي وتنميته؛</w:t>
      </w:r>
    </w:p>
    <w:p w:rsidR="00891C8A" w:rsidRPr="00891C8A" w:rsidRDefault="00891C8A" w:rsidP="00891C8A">
      <w:pPr>
        <w:numPr>
          <w:ilvl w:val="0"/>
          <w:numId w:val="4"/>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القيام بالأعمال اللازمة لإنعاش وتشجيع الاستثمارات الخاصة، ولاسيما إنجاز البنيات التحتية والتجهيزات والمساهمة في إقامة مناطق للأنشطة الاقتصادية وتحسين ظروف عمل المقاولات.</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ولهذه الغاية يمكن للجماعة أن تساهم في إنجاز الأعمال التالية: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دور الشباب؛</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جور الحضانة ورياض الأطفال؛</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المراكز النسوية؛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دور العمل الخيري ومأوى العجزة؛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المراكز الاجتماعية للإيواء؛</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مراكز الترفيه؛</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المركبات الثقافية؛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المكتبات الجماعية؛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المتاحف والمسارح والمعاهد الفنية والموسيقية؛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المركبات الرياضية والميادين والملاعب الرياضية والقاعات المغطاة والمعاهد الرياضية؛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المسابح وملاعب سباق الدراجات والخيل والهجن؛</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المحافظة على البيئة؛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تدبير الساحل الواقع في النفوذ الترابي للجماعة طبقا للقوانين والأنظمة الجاري بها العمل؛</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lastRenderedPageBreak/>
        <w:t>تهيئة الشواطئ والممرات الساحلية والبحيرات وضفاف الأنهار الموجود داخل تراب الجماعة؛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صيانة مدارس التعليم الأساسي؛</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صيانة المستوصفات الصحية الواقعة في النفوذ الترابي للجماعة؛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صيانة الطرقات الوطنية العابرة لمركز الجماعة ومجالها الحضري؛</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بناء وصيانة الطرق والمسالك الجماعية؛</w:t>
      </w:r>
    </w:p>
    <w:p w:rsidR="00891C8A" w:rsidRPr="00891C8A" w:rsidRDefault="00891C8A" w:rsidP="00891C8A">
      <w:pPr>
        <w:numPr>
          <w:ilvl w:val="0"/>
          <w:numId w:val="5"/>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التأهيل والتثمين السياحي للمدن العتيقة والمعالم السياحية والموقع التاريخية.</w:t>
      </w:r>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88</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تمارس الاختصاصات المشتركة بين الجماعة والدولة بشكل تعاقدي، إما بمبادرة من الدولة أو بطلب من الجماعة.</w:t>
      </w:r>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89</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يمكن للجماعة، بمبادرة منها، واعتمادا على مواردها الذاتية، أن تتولى تمويل أو تشارك في تمويل إنجاز مرفق أو تجهيز أو تقديم خدمة عمومية لا تدخل ضمن اختصاصاتها الذاتية بشكل تعاقدي مع الدولة إذا تبين أن هذا التمويل يساهم في بلوغ أهدافها.</w:t>
      </w:r>
    </w:p>
    <w:p w:rsidR="00891C8A" w:rsidRPr="00891C8A" w:rsidRDefault="00891C8A" w:rsidP="00891C8A">
      <w:pPr>
        <w:shd w:val="clear" w:color="auto" w:fill="FFFFFF"/>
        <w:bidi/>
        <w:spacing w:before="360" w:after="240" w:line="240" w:lineRule="auto"/>
        <w:jc w:val="center"/>
        <w:rPr>
          <w:rFonts w:ascii="dgct" w:eastAsia="Times New Roman" w:hAnsi="dgct" w:cs="Times New Roman"/>
          <w:color w:val="333333"/>
          <w:sz w:val="24"/>
          <w:szCs w:val="24"/>
          <w:rtl/>
          <w:lang w:eastAsia="fr-FR"/>
        </w:rPr>
      </w:pPr>
      <w:bookmarkStart w:id="8" w:name="_Toc457298866"/>
      <w:r w:rsidRPr="00891C8A">
        <w:rPr>
          <w:rFonts w:ascii="dgct" w:eastAsia="Times New Roman" w:hAnsi="dgct" w:cs="Times New Roman"/>
          <w:b/>
          <w:bCs/>
          <w:color w:val="5C309C"/>
          <w:sz w:val="40"/>
          <w:szCs w:val="40"/>
          <w:rtl/>
          <w:lang w:eastAsia="fr-FR"/>
        </w:rPr>
        <w:t>الباب الرابع: الاختصاصات المنقولة</w:t>
      </w:r>
      <w:bookmarkEnd w:id="8"/>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90</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تحدد اعتمادا على مبدأ التفريع مجالات الاختصاصات المنقولة من الدولة إلى الجماعة، وتشمل هذه المجالات بصفة خاصة:</w:t>
      </w:r>
    </w:p>
    <w:p w:rsidR="00891C8A" w:rsidRPr="00891C8A" w:rsidRDefault="00891C8A" w:rsidP="00891C8A">
      <w:pPr>
        <w:numPr>
          <w:ilvl w:val="0"/>
          <w:numId w:val="6"/>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حماية وترميم المآثر التاريخية والتراث الثقافي والحفاظ على المواقع الطبيعية؛</w:t>
      </w:r>
    </w:p>
    <w:p w:rsidR="00891C8A" w:rsidRPr="00891C8A" w:rsidRDefault="00891C8A" w:rsidP="00891C8A">
      <w:pPr>
        <w:numPr>
          <w:ilvl w:val="0"/>
          <w:numId w:val="6"/>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إحداث وصيانة المنشآت والتجهيزات المائية الصغيرة والمتوسطة.</w:t>
      </w:r>
    </w:p>
    <w:p w:rsidR="00891C8A" w:rsidRPr="00891C8A" w:rsidRDefault="00891C8A" w:rsidP="00891C8A">
      <w:pPr>
        <w:shd w:val="clear" w:color="auto" w:fill="FFFFFF"/>
        <w:bidi/>
        <w:spacing w:before="240" w:after="120" w:line="240" w:lineRule="auto"/>
        <w:jc w:val="center"/>
        <w:rPr>
          <w:rFonts w:ascii="dgct" w:eastAsia="Times New Roman" w:hAnsi="dgct" w:cs="Times New Roman"/>
          <w:color w:val="333333"/>
          <w:sz w:val="24"/>
          <w:szCs w:val="24"/>
          <w:rtl/>
          <w:lang w:eastAsia="fr-FR"/>
        </w:rPr>
      </w:pPr>
      <w:r w:rsidRPr="00891C8A">
        <w:rPr>
          <w:rFonts w:ascii="dgct" w:eastAsia="Times New Roman" w:hAnsi="dgct" w:cs="Times New Roman" w:hint="cs"/>
          <w:b/>
          <w:bCs/>
          <w:color w:val="3366FF"/>
          <w:sz w:val="32"/>
          <w:szCs w:val="32"/>
          <w:rtl/>
          <w:lang w:eastAsia="fr-FR"/>
        </w:rPr>
        <w:t>المادة 91</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 يراعى مبدأ التدرج والتمايز بين الجماعات عند نقل الاختصاصات من الدولة إلى الجماعة</w:t>
      </w:r>
      <w:r w:rsidRPr="00891C8A">
        <w:rPr>
          <w:rFonts w:ascii="dgct" w:eastAsia="Times New Roman" w:hAnsi="dgct" w:cs="Times New Roman"/>
          <w:b/>
          <w:bCs/>
          <w:color w:val="333333"/>
          <w:sz w:val="32"/>
          <w:szCs w:val="32"/>
          <w:rtl/>
          <w:lang w:eastAsia="fr-FR"/>
        </w:rPr>
        <w:t>.</w:t>
      </w:r>
    </w:p>
    <w:p w:rsidR="00891C8A" w:rsidRPr="00891C8A" w:rsidRDefault="00891C8A" w:rsidP="00891C8A">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891C8A">
        <w:rPr>
          <w:rFonts w:ascii="dgct" w:eastAsia="Times New Roman" w:hAnsi="dgct" w:cs="Times New Roman" w:hint="cs"/>
          <w:color w:val="333333"/>
          <w:sz w:val="32"/>
          <w:szCs w:val="32"/>
          <w:rtl/>
          <w:lang w:eastAsia="fr-FR"/>
        </w:rPr>
        <w:t>طبقا للبند الرابع من الفصل 146 من الدستور، يكون تحويل الاختصاصات المنقولة إلى اختصاصات ذاتية للجماعة أو الجماعات المعنية بموجب تعديل هذا القانون التنظيمي.</w:t>
      </w:r>
    </w:p>
    <w:p w:rsidR="00891C8A" w:rsidRPr="00891C8A" w:rsidRDefault="00891C8A" w:rsidP="00891C8A">
      <w:pPr>
        <w:shd w:val="clear" w:color="auto" w:fill="FFFFFF"/>
        <w:bidi/>
        <w:spacing w:after="195" w:line="240" w:lineRule="auto"/>
        <w:rPr>
          <w:rFonts w:ascii="dgct" w:eastAsia="Times New Roman" w:hAnsi="dgct" w:cs="Times New Roman"/>
          <w:color w:val="333333"/>
          <w:sz w:val="24"/>
          <w:szCs w:val="24"/>
          <w:rtl/>
          <w:lang w:eastAsia="fr-FR"/>
        </w:rPr>
      </w:pPr>
      <w:r w:rsidRPr="00891C8A">
        <w:rPr>
          <w:rFonts w:ascii="dgct" w:eastAsia="Times New Roman" w:hAnsi="dgct" w:cs="Times New Roman"/>
          <w:color w:val="333333"/>
          <w:sz w:val="24"/>
          <w:szCs w:val="24"/>
          <w:rtl/>
          <w:lang w:eastAsia="fr-FR"/>
        </w:rPr>
        <w:t> </w:t>
      </w:r>
    </w:p>
    <w:p w:rsidR="00891C8A" w:rsidRPr="00891C8A" w:rsidRDefault="00891C8A" w:rsidP="00891C8A">
      <w:pPr>
        <w:shd w:val="clear" w:color="auto" w:fill="FFFFFF"/>
        <w:bidi/>
        <w:spacing w:after="195" w:line="240" w:lineRule="auto"/>
        <w:rPr>
          <w:rFonts w:ascii="dgct" w:eastAsia="Times New Roman" w:hAnsi="dgct" w:cs="Times New Roman"/>
          <w:color w:val="333333"/>
          <w:sz w:val="24"/>
          <w:szCs w:val="24"/>
          <w:rtl/>
          <w:lang w:eastAsia="fr-FR"/>
        </w:rPr>
      </w:pPr>
      <w:r w:rsidRPr="00891C8A">
        <w:rPr>
          <w:rFonts w:ascii="dgct" w:eastAsia="Times New Roman" w:hAnsi="dgct" w:cs="Times New Roman"/>
          <w:color w:val="333333"/>
          <w:sz w:val="24"/>
          <w:szCs w:val="24"/>
          <w:rtl/>
          <w:lang w:eastAsia="fr-FR"/>
        </w:rPr>
        <w:t> </w:t>
      </w:r>
    </w:p>
    <w:p w:rsidR="00891C8A" w:rsidRPr="00891C8A" w:rsidRDefault="00891C8A" w:rsidP="00891C8A">
      <w:pPr>
        <w:shd w:val="clear" w:color="auto" w:fill="FFFFFF"/>
        <w:bidi/>
        <w:spacing w:after="195" w:line="240" w:lineRule="auto"/>
        <w:rPr>
          <w:rFonts w:ascii="dgct" w:eastAsia="Times New Roman" w:hAnsi="dgct" w:cs="Times New Roman"/>
          <w:color w:val="333333"/>
          <w:sz w:val="24"/>
          <w:szCs w:val="24"/>
          <w:rtl/>
          <w:lang w:eastAsia="fr-FR"/>
        </w:rPr>
      </w:pPr>
      <w:r w:rsidRPr="00891C8A">
        <w:rPr>
          <w:rFonts w:ascii="dgct" w:eastAsia="Times New Roman" w:hAnsi="dgct" w:cs="Times New Roman"/>
          <w:color w:val="333333"/>
          <w:sz w:val="24"/>
          <w:szCs w:val="24"/>
          <w:rtl/>
          <w:lang w:eastAsia="fr-FR"/>
        </w:rPr>
        <w:lastRenderedPageBreak/>
        <w:t>---------------------------------------------------------------------------------------------------------</w:t>
      </w:r>
    </w:p>
    <w:p w:rsidR="00891C8A" w:rsidRPr="00891C8A" w:rsidRDefault="00891C8A" w:rsidP="00891C8A">
      <w:pPr>
        <w:shd w:val="clear" w:color="auto" w:fill="FFFFFF"/>
        <w:bidi/>
        <w:spacing w:after="195" w:line="240" w:lineRule="auto"/>
        <w:rPr>
          <w:rFonts w:ascii="dgct" w:eastAsia="Times New Roman" w:hAnsi="dgct" w:cs="Times New Roman"/>
          <w:color w:val="333333"/>
          <w:sz w:val="24"/>
          <w:szCs w:val="24"/>
          <w:rtl/>
          <w:lang w:eastAsia="fr-FR"/>
        </w:rPr>
      </w:pPr>
      <w:r w:rsidRPr="00891C8A">
        <w:rPr>
          <w:rFonts w:ascii="dgct" w:eastAsia="Times New Roman" w:hAnsi="dgct" w:cs="Times New Roman"/>
          <w:b/>
          <w:bCs/>
          <w:color w:val="333333"/>
          <w:u w:val="single"/>
          <w:rtl/>
          <w:lang w:eastAsia="fr-FR"/>
        </w:rPr>
        <w:t>المصدر</w:t>
      </w:r>
      <w:r w:rsidRPr="00891C8A">
        <w:rPr>
          <w:rFonts w:ascii="dgct" w:eastAsia="Times New Roman" w:hAnsi="dgct" w:cs="Times New Roman"/>
          <w:b/>
          <w:bCs/>
          <w:color w:val="333333"/>
          <w:rtl/>
          <w:lang w:eastAsia="fr-FR"/>
        </w:rPr>
        <w:t xml:space="preserve">: القانون التنظيمي رقم 113.14 المتعلق </w:t>
      </w:r>
      <w:proofErr w:type="gramStart"/>
      <w:r w:rsidRPr="00891C8A">
        <w:rPr>
          <w:rFonts w:ascii="dgct" w:eastAsia="Times New Roman" w:hAnsi="dgct" w:cs="Times New Roman"/>
          <w:b/>
          <w:bCs/>
          <w:color w:val="333333"/>
          <w:rtl/>
          <w:lang w:eastAsia="fr-FR"/>
        </w:rPr>
        <w:t>بالجماعات  -</w:t>
      </w:r>
      <w:proofErr w:type="gramEnd"/>
      <w:r w:rsidRPr="00891C8A">
        <w:rPr>
          <w:rFonts w:ascii="dgct" w:eastAsia="Times New Roman" w:hAnsi="dgct" w:cs="Times New Roman"/>
          <w:b/>
          <w:bCs/>
          <w:color w:val="333333"/>
          <w:rtl/>
          <w:lang w:eastAsia="fr-FR"/>
        </w:rPr>
        <w:t xml:space="preserve"> القسم الثاني: اختصاصات الجماعة</w:t>
      </w:r>
    </w:p>
    <w:p w:rsidR="00476A9F" w:rsidRDefault="00476A9F" w:rsidP="00891C8A">
      <w:pPr>
        <w:bidi/>
      </w:pPr>
    </w:p>
    <w:sectPr w:rsidR="00476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gc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72B15"/>
    <w:multiLevelType w:val="multilevel"/>
    <w:tmpl w:val="0CB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D608D"/>
    <w:multiLevelType w:val="multilevel"/>
    <w:tmpl w:val="83FC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A05945"/>
    <w:multiLevelType w:val="multilevel"/>
    <w:tmpl w:val="0EE4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D69B0"/>
    <w:multiLevelType w:val="multilevel"/>
    <w:tmpl w:val="8EE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0F722A"/>
    <w:multiLevelType w:val="multilevel"/>
    <w:tmpl w:val="0A969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F42F04"/>
    <w:multiLevelType w:val="multilevel"/>
    <w:tmpl w:val="B082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62"/>
    <w:rsid w:val="003D6662"/>
    <w:rsid w:val="00476A9F"/>
    <w:rsid w:val="00891C8A"/>
    <w:rsid w:val="00F771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EC465-4E97-4884-9F7C-3FB86EB3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1">
    <w:name w:val="a1"/>
    <w:basedOn w:val="Normal"/>
    <w:rsid w:val="00891C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0">
    <w:name w:val="a0"/>
    <w:basedOn w:val="Normal"/>
    <w:rsid w:val="00891C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
    <w:name w:val="a"/>
    <w:basedOn w:val="Normal"/>
    <w:rsid w:val="00891C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9">
    <w:name w:val="style9"/>
    <w:basedOn w:val="Normal"/>
    <w:rsid w:val="00891C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2">
    <w:name w:val="a2"/>
    <w:basedOn w:val="Normal"/>
    <w:rsid w:val="00891C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91C8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4403">
      <w:bodyDiv w:val="1"/>
      <w:marLeft w:val="0"/>
      <w:marRight w:val="0"/>
      <w:marTop w:val="0"/>
      <w:marBottom w:val="0"/>
      <w:divBdr>
        <w:top w:val="none" w:sz="0" w:space="0" w:color="auto"/>
        <w:left w:val="none" w:sz="0" w:space="0" w:color="auto"/>
        <w:bottom w:val="none" w:sz="0" w:space="0" w:color="auto"/>
        <w:right w:val="none" w:sz="0" w:space="0" w:color="auto"/>
      </w:divBdr>
      <w:divsChild>
        <w:div w:id="199175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1043</Words>
  <Characters>5741</Characters>
  <Application>Microsoft Office Word</Application>
  <DocSecurity>0</DocSecurity>
  <Lines>47</Lines>
  <Paragraphs>13</Paragraphs>
  <ScaleCrop>false</ScaleCrop>
  <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2024-01-25T11:36:00Z</dcterms:created>
  <dcterms:modified xsi:type="dcterms:W3CDTF">2024-01-25T11:37:00Z</dcterms:modified>
</cp:coreProperties>
</file>